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005D8" w14:textId="77777777" w:rsidR="00845331" w:rsidRPr="00845331" w:rsidRDefault="00845331" w:rsidP="00845331">
      <w:pPr>
        <w:spacing w:after="200" w:line="276" w:lineRule="auto"/>
        <w:jc w:val="center"/>
        <w:rPr>
          <w:rFonts w:ascii="Arial" w:hAnsi="Arial" w:cs="Arial"/>
          <w:b/>
          <w:lang w:val="en-GB"/>
        </w:rPr>
      </w:pPr>
      <w:r w:rsidRPr="00845331">
        <w:rPr>
          <w:rFonts w:ascii="Arial" w:hAnsi="Arial" w:cs="Arial"/>
          <w:b/>
          <w:lang w:val="en-GB"/>
        </w:rPr>
        <w:t>Publications 2012-2015</w:t>
      </w:r>
    </w:p>
    <w:p w14:paraId="756D06FB" w14:textId="77777777" w:rsidR="00845331" w:rsidRDefault="00845331" w:rsidP="00845331">
      <w:pPr>
        <w:spacing w:after="200" w:line="276" w:lineRule="auto"/>
        <w:rPr>
          <w:rFonts w:ascii="Arial" w:hAnsi="Arial" w:cs="Arial"/>
          <w:sz w:val="20"/>
          <w:szCs w:val="20"/>
          <w:lang w:val="en-GB"/>
        </w:rPr>
      </w:pPr>
    </w:p>
    <w:p w14:paraId="72B1D161" w14:textId="77777777" w:rsidR="009A7EC7" w:rsidRPr="00845331" w:rsidRDefault="009A7EC7" w:rsidP="00845331">
      <w:pPr>
        <w:spacing w:after="200" w:line="276" w:lineRule="auto"/>
        <w:rPr>
          <w:rFonts w:ascii="Arial" w:hAnsi="Arial" w:cs="Arial"/>
          <w:i/>
          <w:sz w:val="22"/>
          <w:szCs w:val="22"/>
        </w:rPr>
      </w:pPr>
      <w:r w:rsidRPr="00845331">
        <w:rPr>
          <w:rFonts w:ascii="Arial" w:hAnsi="Arial" w:cs="Arial"/>
          <w:sz w:val="22"/>
          <w:szCs w:val="22"/>
          <w:lang w:val="en-GB"/>
        </w:rPr>
        <w:t>Rakotoson MG, Di Liberto G, Audureau E, Habibi A, Fauroux C, Khorgami S, Hulin A, Loric S, Noizat-Pirenne F, Galacteros F, Bartolucci P. Biological parameters predictive of percent dense red blood cell decrease under hydroxyurea. Orphanet J Rare Dis. 2015 May 9;10(1):57. doi: 10.1186/s13023-015-0272-3.</w:t>
      </w:r>
    </w:p>
    <w:p w14:paraId="2ABA5C5E" w14:textId="77777777" w:rsidR="009A7EC7" w:rsidRPr="00845331" w:rsidRDefault="009A7EC7" w:rsidP="00FC5288">
      <w:pPr>
        <w:spacing w:before="120" w:after="120"/>
        <w:jc w:val="both"/>
        <w:rPr>
          <w:rFonts w:ascii="Arial" w:hAnsi="Arial" w:cs="Arial"/>
          <w:sz w:val="22"/>
          <w:szCs w:val="22"/>
          <w:lang w:val="en-GB"/>
        </w:rPr>
      </w:pPr>
      <w:r w:rsidRPr="00845331">
        <w:rPr>
          <w:rFonts w:ascii="Arial" w:hAnsi="Arial" w:cs="Arial"/>
          <w:sz w:val="22"/>
          <w:szCs w:val="22"/>
          <w:lang w:val="en-GB"/>
        </w:rPr>
        <w:t>Noizat-Pirenne F, Habibi A, Mekontso-Dessap A, Razazi K, Chadebech P, Mahevas M, Vingert B, Bierling P, Galactéros F, Bartolucci P, Michel M. The use of rituximab to prevent severe delayed haemolytic transfusion reaction in immunized patients with sickle cell disease. Vox Sang. 2015 Apr;108(3):262-7.</w:t>
      </w:r>
    </w:p>
    <w:p w14:paraId="4A764BCD" w14:textId="77777777" w:rsidR="009A7EC7" w:rsidRPr="00845331" w:rsidRDefault="009A7EC7" w:rsidP="00FC5288">
      <w:pPr>
        <w:spacing w:before="120" w:after="120"/>
        <w:jc w:val="both"/>
        <w:rPr>
          <w:rFonts w:ascii="Arial" w:hAnsi="Arial" w:cs="Arial"/>
          <w:sz w:val="22"/>
          <w:szCs w:val="22"/>
          <w:lang w:val="en-US"/>
        </w:rPr>
      </w:pPr>
      <w:r w:rsidRPr="00845331">
        <w:rPr>
          <w:rFonts w:ascii="Arial" w:hAnsi="Arial" w:cs="Arial"/>
          <w:sz w:val="22"/>
          <w:szCs w:val="22"/>
          <w:lang w:val="en-US"/>
        </w:rPr>
        <w:t xml:space="preserve">Vingert B, Tamagne M, Habibi A, Pakdaman S, Ripa J, Elayeb R, Galacteros F, Bierling P, Ansart-Pirenne H, Bartolucci P, Noizat-Pirenne F. </w:t>
      </w:r>
      <w:r w:rsidRPr="00845331">
        <w:rPr>
          <w:rFonts w:ascii="Arial" w:hAnsi="Arial" w:cs="Arial"/>
          <w:sz w:val="22"/>
          <w:szCs w:val="22"/>
          <w:lang w:val="en-GB"/>
        </w:rPr>
        <w:t>Phenotypic differences of CD4+ T cells in response to red blood cell immunization in transfused sickle cell disease patients.</w:t>
      </w:r>
      <w:r w:rsidRPr="00845331">
        <w:rPr>
          <w:rFonts w:ascii="Arial" w:hAnsi="Arial" w:cs="Arial"/>
          <w:sz w:val="22"/>
          <w:szCs w:val="22"/>
          <w:lang w:val="en-US"/>
        </w:rPr>
        <w:t xml:space="preserve">Eur J Immunol. 2015 Mar 12. doi: 10.1002/eji.201445187. </w:t>
      </w:r>
    </w:p>
    <w:p w14:paraId="3746E684" w14:textId="77777777" w:rsidR="009A7EC7" w:rsidRPr="00845331" w:rsidRDefault="009A7EC7" w:rsidP="00FC5288">
      <w:pPr>
        <w:spacing w:before="120" w:after="120"/>
        <w:jc w:val="both"/>
        <w:rPr>
          <w:rFonts w:ascii="Arial" w:hAnsi="Arial" w:cs="Arial"/>
          <w:sz w:val="22"/>
          <w:szCs w:val="22"/>
          <w:lang w:val="en-US"/>
        </w:rPr>
      </w:pPr>
      <w:r w:rsidRPr="00845331">
        <w:rPr>
          <w:rFonts w:ascii="Arial" w:hAnsi="Arial" w:cs="Arial"/>
          <w:sz w:val="22"/>
          <w:szCs w:val="22"/>
          <w:lang w:val="en-US"/>
        </w:rPr>
        <w:t>Burin des Roziers N, Chadebech P, Bodivit G, Guinchard E, Bruneel A, Dupré T, Chevret L, Jugie M, Gallon P, Bierling P, Noizat-Pirenne F. Red blood cell Thomsen-Friedenreich antigen expression and galectin-3 plasma concentrations in Streptococcus pneumoniae-associated hemolytic uremic syndrome and hemolytic anemia. Transfusion. 2014 Dec 30. doi: 10.1111/trf.12981</w:t>
      </w:r>
    </w:p>
    <w:p w14:paraId="36063723" w14:textId="77777777" w:rsidR="009A7EC7" w:rsidRPr="00845331" w:rsidRDefault="009A7EC7" w:rsidP="000125C0">
      <w:pPr>
        <w:spacing w:before="120" w:after="120"/>
        <w:jc w:val="both"/>
        <w:rPr>
          <w:rFonts w:ascii="Arial" w:hAnsi="Arial" w:cs="Arial"/>
          <w:sz w:val="22"/>
          <w:szCs w:val="22"/>
          <w:lang w:val="en-US"/>
        </w:rPr>
      </w:pPr>
      <w:r w:rsidRPr="00845331">
        <w:rPr>
          <w:rFonts w:ascii="Arial" w:hAnsi="Arial" w:cs="Arial"/>
          <w:sz w:val="22"/>
          <w:szCs w:val="22"/>
          <w:lang w:val="en-US"/>
        </w:rPr>
        <w:t xml:space="preserve">Domingues-Hamdi E, Vasseur C, Fournier JB, Marden MC, Wajcman H, Baudin-Creuza V. Role of </w:t>
      </w:r>
      <w:r w:rsidRPr="00845331">
        <w:rPr>
          <w:rFonts w:ascii="Arial" w:hAnsi="Arial" w:cs="Arial"/>
          <w:sz w:val="22"/>
          <w:szCs w:val="22"/>
        </w:rPr>
        <w:t>α</w:t>
      </w:r>
      <w:r w:rsidRPr="00845331">
        <w:rPr>
          <w:rFonts w:ascii="Arial" w:hAnsi="Arial" w:cs="Arial"/>
          <w:sz w:val="22"/>
          <w:szCs w:val="22"/>
          <w:lang w:val="en-US"/>
        </w:rPr>
        <w:t xml:space="preserve">-globin H helix in the building of tetrameric human hemoglobin: interaction with </w:t>
      </w:r>
      <w:r w:rsidRPr="00845331">
        <w:rPr>
          <w:rFonts w:ascii="Arial" w:hAnsi="Arial" w:cs="Arial"/>
          <w:sz w:val="22"/>
          <w:szCs w:val="22"/>
        </w:rPr>
        <w:t>α</w:t>
      </w:r>
      <w:r w:rsidRPr="00845331">
        <w:rPr>
          <w:rFonts w:ascii="Arial" w:hAnsi="Arial" w:cs="Arial"/>
          <w:sz w:val="22"/>
          <w:szCs w:val="22"/>
          <w:lang w:val="en-US"/>
        </w:rPr>
        <w:t>-hemoglobin stabilizing protein (AHSP) and heme molecule. PLoS One. 2014 Nov 4;9(11):e111395.</w:t>
      </w:r>
    </w:p>
    <w:p w14:paraId="277E03BF" w14:textId="77777777" w:rsidR="009A7EC7" w:rsidRPr="00845331" w:rsidRDefault="009A7EC7" w:rsidP="00311C57">
      <w:pPr>
        <w:spacing w:before="120" w:after="120"/>
        <w:jc w:val="both"/>
        <w:rPr>
          <w:rFonts w:ascii="Arial" w:hAnsi="Arial" w:cs="Arial"/>
          <w:sz w:val="22"/>
          <w:szCs w:val="22"/>
          <w:lang w:val="en-US"/>
        </w:rPr>
      </w:pPr>
      <w:r w:rsidRPr="00845331">
        <w:rPr>
          <w:rFonts w:ascii="Arial" w:hAnsi="Arial" w:cs="Arial"/>
          <w:sz w:val="22"/>
          <w:szCs w:val="22"/>
          <w:lang w:val="en-US"/>
        </w:rPr>
        <w:t>Arlet JB, Ribeil JA, Guillem F, Negre O, Hazoume A, Marcion G, Beuzard Y, Dussiot M, Moura IC, Demarest S, de Beauchêne IC, Belaid-Choucair Z, Sevin M, Maciel TT, Auclair C, Leboulch P, Chretien S, Tchertanov L, Baudin-Creuza V, Seigneuric R, Fontenay M, Garrido C, Hermine O, Courtois G. HSP70 sequestration by free α-globin promotes ineffective erythropoiesis in β-thalassaemia. Nature. 2014 Oct 9;514(7521):242-6.</w:t>
      </w:r>
    </w:p>
    <w:p w14:paraId="28627B8C" w14:textId="77777777" w:rsidR="009A7EC7" w:rsidRPr="00845331" w:rsidRDefault="009A7EC7" w:rsidP="00AB0417">
      <w:pPr>
        <w:spacing w:before="120" w:after="120"/>
        <w:jc w:val="both"/>
        <w:rPr>
          <w:rFonts w:ascii="Arial" w:hAnsi="Arial" w:cs="Arial"/>
          <w:sz w:val="22"/>
          <w:szCs w:val="22"/>
          <w:lang w:val="en-US"/>
        </w:rPr>
      </w:pPr>
      <w:r w:rsidRPr="00845331">
        <w:rPr>
          <w:rFonts w:ascii="Arial" w:hAnsi="Arial" w:cs="Arial"/>
          <w:sz w:val="22"/>
          <w:szCs w:val="22"/>
          <w:lang w:val="en-US"/>
        </w:rPr>
        <w:t>Silvy M, Tournamille C, Babinet J, Pakdaman S, Cohen S, Chiaroni J, Galactéros F, Bierling P, Bailly P, Noizat-Pirenne F. Red blood cell immunization in sickle cell disease: evidence of a large responder group and a low rate of anti-Rh linked to partial Rh phenotype. Haematologica. 2014 Jul;99(7):e115-7.</w:t>
      </w:r>
    </w:p>
    <w:p w14:paraId="652A766F" w14:textId="77777777" w:rsidR="009A7EC7" w:rsidRPr="00845331" w:rsidRDefault="009A7EC7" w:rsidP="00D15C16">
      <w:pPr>
        <w:spacing w:before="120" w:after="120"/>
        <w:jc w:val="both"/>
        <w:rPr>
          <w:rFonts w:ascii="Arial" w:hAnsi="Arial" w:cs="Arial"/>
          <w:sz w:val="22"/>
          <w:szCs w:val="22"/>
          <w:lang w:val="en-US"/>
        </w:rPr>
      </w:pPr>
      <w:r w:rsidRPr="00845331">
        <w:rPr>
          <w:rFonts w:ascii="Arial" w:hAnsi="Arial" w:cs="Arial"/>
          <w:sz w:val="22"/>
          <w:szCs w:val="22"/>
          <w:lang w:val="en-US"/>
        </w:rPr>
        <w:t xml:space="preserve">Mellerio C, Farhat WH, Calvet D, Oppenheim C, Lefaucheur JP, Bartolucci P. Cerebral reorganization of language and motor control secondary to chronic hemispheric vasculopathy in a patient with homozygous sickle-cell disease. Am J Hematol. 2014 Jun;89(6):662-3. </w:t>
      </w:r>
    </w:p>
    <w:p w14:paraId="290E7297" w14:textId="77777777" w:rsidR="009A7EC7" w:rsidRPr="00845331" w:rsidRDefault="009A7EC7" w:rsidP="007473B3">
      <w:pPr>
        <w:spacing w:before="120" w:after="120"/>
        <w:jc w:val="both"/>
        <w:rPr>
          <w:rFonts w:ascii="Arial" w:hAnsi="Arial" w:cs="Arial"/>
          <w:sz w:val="22"/>
          <w:szCs w:val="22"/>
          <w:lang w:val="en-US"/>
        </w:rPr>
      </w:pPr>
      <w:r w:rsidRPr="00845331">
        <w:rPr>
          <w:rFonts w:ascii="Arial" w:hAnsi="Arial" w:cs="Arial"/>
          <w:sz w:val="22"/>
          <w:szCs w:val="22"/>
          <w:lang w:val="en-US"/>
        </w:rPr>
        <w:t>Audard V, Moutereau S, Vandemelebrouck G, Habibi A, Khellaf M, Grimbert P, Levy Y, Loric S, Renaud B, Lang P, Godeau B, Galactéros F, Bartolucci P. First evidence of subclinical renal tubular injury during sickle-cell crisis. Orphanet J Rare Dis. 2014 Apr 29;9:67</w:t>
      </w:r>
    </w:p>
    <w:p w14:paraId="2A4EE4C5" w14:textId="77777777" w:rsidR="009A7EC7" w:rsidRPr="00845331" w:rsidRDefault="009A7EC7" w:rsidP="00F8098D">
      <w:pPr>
        <w:spacing w:before="120" w:after="120"/>
        <w:jc w:val="both"/>
        <w:rPr>
          <w:rFonts w:ascii="Arial" w:hAnsi="Arial" w:cs="Arial"/>
          <w:sz w:val="22"/>
          <w:szCs w:val="22"/>
          <w:lang w:val="en-US"/>
        </w:rPr>
      </w:pPr>
      <w:r w:rsidRPr="00845331">
        <w:rPr>
          <w:rFonts w:ascii="Arial" w:hAnsi="Arial" w:cs="Arial"/>
          <w:sz w:val="22"/>
          <w:szCs w:val="22"/>
          <w:lang w:val="en-US"/>
        </w:rPr>
        <w:t>Vingert B, Tamagne M, Desmarets M, Pakdaman S, Elayeb R, Habibi A, Bernaudin F, Galacteros F, Bierling P, Noizat-Pirenne F, Cohen JL. Partial dysfunction of Treg activation in sickle cell disease. Am J Hematol. 2014 Mar;89(3):261-6.</w:t>
      </w:r>
    </w:p>
    <w:p w14:paraId="2FAB3235" w14:textId="77777777" w:rsidR="009A7EC7" w:rsidRPr="00845331" w:rsidRDefault="009A7EC7" w:rsidP="007473B3">
      <w:pPr>
        <w:spacing w:before="120" w:after="120"/>
        <w:jc w:val="both"/>
        <w:rPr>
          <w:rFonts w:ascii="Arial" w:hAnsi="Arial" w:cs="Arial"/>
          <w:sz w:val="22"/>
          <w:szCs w:val="22"/>
          <w:lang w:val="en-US"/>
        </w:rPr>
      </w:pPr>
      <w:r w:rsidRPr="00845331">
        <w:rPr>
          <w:rFonts w:ascii="Arial" w:hAnsi="Arial" w:cs="Arial"/>
          <w:sz w:val="22"/>
          <w:szCs w:val="22"/>
          <w:lang w:val="en-US"/>
        </w:rPr>
        <w:t>Gueguen A, Mahevas M, Nzouakou R, Hosseini H, Habibi A, Bachir D, Brugière P, Lionnet F, Ribei JA, Godeau B, Girot R, Ibrahima V, Calvet D, Galactéros F, Bartolucci P. Sickle-cell disease stroke throughout life: a retrospective study in an adult referral center. Am J Hematol. 2014 Mar;89(3):267-72.</w:t>
      </w:r>
    </w:p>
    <w:p w14:paraId="55B1F085" w14:textId="77777777" w:rsidR="009A7EC7" w:rsidRPr="00845331" w:rsidRDefault="009A7EC7" w:rsidP="00E53CCD">
      <w:pPr>
        <w:spacing w:before="120" w:after="120"/>
        <w:jc w:val="both"/>
        <w:rPr>
          <w:rFonts w:ascii="Arial" w:hAnsi="Arial" w:cs="Arial"/>
          <w:sz w:val="22"/>
          <w:szCs w:val="22"/>
          <w:lang w:val="en-US"/>
        </w:rPr>
      </w:pPr>
      <w:r w:rsidRPr="00845331">
        <w:rPr>
          <w:rFonts w:ascii="Arial" w:hAnsi="Arial" w:cs="Arial"/>
          <w:sz w:val="22"/>
          <w:szCs w:val="22"/>
          <w:lang w:val="en-US"/>
        </w:rPr>
        <w:t xml:space="preserve">Kiger L, Vasseur C, Domingues-Hamdi E, Truan G, Marden MC, Baudin-Creuza V. Dynamics of </w:t>
      </w:r>
      <w:r w:rsidRPr="00845331">
        <w:rPr>
          <w:rFonts w:ascii="Arial" w:hAnsi="Arial" w:cs="Arial"/>
          <w:sz w:val="22"/>
          <w:szCs w:val="22"/>
        </w:rPr>
        <w:t>α</w:t>
      </w:r>
      <w:r w:rsidRPr="00845331">
        <w:rPr>
          <w:rFonts w:ascii="Arial" w:hAnsi="Arial" w:cs="Arial"/>
          <w:sz w:val="22"/>
          <w:szCs w:val="22"/>
          <w:lang w:val="en-US"/>
        </w:rPr>
        <w:t>-Hb chain binding to its chaperone AHSP depends on heme coordination and redox state. Biochim Biophys Acta. 2014 Jan;1840(1):277-87.</w:t>
      </w:r>
    </w:p>
    <w:p w14:paraId="26651348" w14:textId="77777777" w:rsidR="009A7EC7" w:rsidRPr="00845331" w:rsidRDefault="009A7EC7" w:rsidP="00AB0417">
      <w:pPr>
        <w:spacing w:before="120" w:after="120"/>
        <w:jc w:val="both"/>
        <w:rPr>
          <w:rFonts w:ascii="Arial" w:hAnsi="Arial" w:cs="Arial"/>
          <w:sz w:val="22"/>
          <w:szCs w:val="22"/>
          <w:lang w:val="en-US"/>
        </w:rPr>
      </w:pPr>
      <w:r w:rsidRPr="00845331">
        <w:rPr>
          <w:rFonts w:ascii="Arial" w:hAnsi="Arial" w:cs="Arial"/>
          <w:sz w:val="22"/>
          <w:szCs w:val="22"/>
          <w:lang w:val="en-US"/>
        </w:rPr>
        <w:t>Russo R, Giordano D, di Prisco G, Hui Bon Hoa G, Marden MC, Verde C, Kiger L. Ligand-rebinding kinetics of 2/2 hemoglobin from the Antarctic bacterium Pseudoalteromonas haloplanktis TAC125. Biochim Biophys Acta. 2013 Sep;1834(9):1932-8.</w:t>
      </w:r>
    </w:p>
    <w:p w14:paraId="0EA17964" w14:textId="77777777" w:rsidR="009A7EC7" w:rsidRPr="00845331" w:rsidRDefault="009A7EC7" w:rsidP="001A1323">
      <w:pPr>
        <w:spacing w:before="120" w:after="120"/>
        <w:jc w:val="both"/>
        <w:rPr>
          <w:rFonts w:ascii="Arial" w:hAnsi="Arial" w:cs="Arial"/>
          <w:sz w:val="22"/>
          <w:szCs w:val="22"/>
          <w:lang w:val="en-US"/>
        </w:rPr>
      </w:pPr>
      <w:r w:rsidRPr="00845331">
        <w:rPr>
          <w:rFonts w:ascii="Arial" w:hAnsi="Arial" w:cs="Arial"/>
          <w:sz w:val="22"/>
          <w:szCs w:val="22"/>
          <w:lang w:val="en-US"/>
        </w:rPr>
        <w:t>Ghedira ES, Pissard S. Low fetal hemoglobin rates in patients carrying Thai (δβ)0-deletion and Turkish (δβ)0-deletion/inversion strengthen the hypothesis that the 5'δ BCL11A binding site plays a major role in its fetal hemoglobin inhibitory regulation. Response to "The 12.6 kb-deletion in the β-globin gene cluster is the known Thai/Vietnamese (δβ)0-thalassemia commonly found in Southeast Asia". Haematologica. 2013 Sep;98(9):e119-20.</w:t>
      </w:r>
    </w:p>
    <w:p w14:paraId="63BAA8B3" w14:textId="77777777" w:rsidR="009A7EC7" w:rsidRPr="00845331" w:rsidRDefault="009A7EC7" w:rsidP="00F27064">
      <w:pPr>
        <w:spacing w:before="120" w:after="120"/>
        <w:jc w:val="both"/>
        <w:rPr>
          <w:rFonts w:ascii="Arial" w:hAnsi="Arial" w:cs="Arial"/>
          <w:sz w:val="22"/>
          <w:szCs w:val="22"/>
          <w:lang w:val="en-US"/>
        </w:rPr>
      </w:pPr>
      <w:r w:rsidRPr="00845331">
        <w:rPr>
          <w:rFonts w:ascii="Arial" w:hAnsi="Arial" w:cs="Arial"/>
          <w:sz w:val="22"/>
          <w:szCs w:val="22"/>
          <w:lang w:val="en-US"/>
        </w:rPr>
        <w:lastRenderedPageBreak/>
        <w:t>Silvy M, Barrault A, Velliquette RW, Lomas-Francis C, Simon S, Mortelecque R, Chiaroni J, Bierling P, Noizat-Pirenne F, Bailly P, Tournamille C. RHCE*cE734C allele encodes an altered c antigen and a suppressed E antigen not detecte</w:t>
      </w:r>
      <w:bookmarkStart w:id="0" w:name="_GoBack"/>
      <w:bookmarkEnd w:id="0"/>
      <w:r w:rsidRPr="00845331">
        <w:rPr>
          <w:rFonts w:ascii="Arial" w:hAnsi="Arial" w:cs="Arial"/>
          <w:sz w:val="22"/>
          <w:szCs w:val="22"/>
          <w:lang w:val="en-US"/>
        </w:rPr>
        <w:t>d with standard reagents. Transfusion. 2013 May;53(5):955-61.</w:t>
      </w:r>
    </w:p>
    <w:p w14:paraId="0AE6BDC9" w14:textId="77777777" w:rsidR="009A7EC7" w:rsidRPr="00845331" w:rsidRDefault="009A7EC7" w:rsidP="001A1323">
      <w:pPr>
        <w:spacing w:before="120" w:after="120"/>
        <w:jc w:val="both"/>
        <w:rPr>
          <w:rFonts w:ascii="Arial" w:hAnsi="Arial" w:cs="Arial"/>
          <w:sz w:val="22"/>
          <w:szCs w:val="22"/>
          <w:lang w:val="en-US"/>
        </w:rPr>
      </w:pPr>
      <w:r w:rsidRPr="00845331">
        <w:rPr>
          <w:rFonts w:ascii="Arial" w:hAnsi="Arial" w:cs="Arial"/>
          <w:sz w:val="22"/>
          <w:szCs w:val="22"/>
          <w:lang w:val="en-US"/>
        </w:rPr>
        <w:t>Pissard S, Raclin V, Lacan P, Garcia C, Aguilar-Martinez P, Francina A, Joly P. Characterization of three new deletions in the β-globin gene cluster during a screening survey in two French urban areas. Clin Chim Acta. 2013 Jan 16;415:35-40.</w:t>
      </w:r>
    </w:p>
    <w:p w14:paraId="510B8AEE" w14:textId="77777777" w:rsidR="009A7EC7" w:rsidRPr="00845331" w:rsidRDefault="009A7EC7" w:rsidP="00572FA7">
      <w:pPr>
        <w:spacing w:before="120" w:after="120"/>
        <w:jc w:val="both"/>
        <w:rPr>
          <w:rFonts w:ascii="Arial" w:hAnsi="Arial" w:cs="Arial"/>
          <w:sz w:val="22"/>
          <w:szCs w:val="22"/>
          <w:lang w:val="en-US"/>
        </w:rPr>
      </w:pPr>
      <w:r w:rsidRPr="00845331">
        <w:rPr>
          <w:rFonts w:ascii="Arial" w:hAnsi="Arial" w:cs="Arial"/>
          <w:sz w:val="22"/>
          <w:szCs w:val="22"/>
          <w:lang w:val="en-US"/>
        </w:rPr>
        <w:t>Bartolucci P, Brugnara C, Teixeira-Pinto A, Pissard S, Moradkhani K, Jouault H, Galacteros F. Erythrocyte density in sickle cell syndromes is associated with specific clinical manifestations and hemolysis. Blood. 2012 Oct 11;120(15):3136-41.</w:t>
      </w:r>
    </w:p>
    <w:p w14:paraId="42DDAE2B" w14:textId="77777777" w:rsidR="009A7EC7" w:rsidRPr="00845331" w:rsidRDefault="009A7EC7" w:rsidP="000B0017">
      <w:pPr>
        <w:spacing w:before="120" w:after="120"/>
        <w:jc w:val="both"/>
        <w:rPr>
          <w:rFonts w:ascii="Arial" w:hAnsi="Arial" w:cs="Arial"/>
          <w:sz w:val="22"/>
          <w:szCs w:val="22"/>
          <w:lang w:val="en-US"/>
        </w:rPr>
      </w:pPr>
      <w:r w:rsidRPr="00845331">
        <w:rPr>
          <w:rFonts w:ascii="Arial" w:hAnsi="Arial" w:cs="Arial"/>
          <w:sz w:val="22"/>
          <w:szCs w:val="22"/>
          <w:lang w:val="en-US"/>
        </w:rPr>
        <w:t>Yazdanbakhsh K, Ware RE, Noizat-Pirenne F. Red blood cell alloimmunization in sickle cell disease: pathophysiology, risk factors, and transfusion management. Blood. 2012 Jul 19;120(3):528-37.</w:t>
      </w:r>
    </w:p>
    <w:p w14:paraId="4D6F7C11" w14:textId="77777777" w:rsidR="009A7EC7" w:rsidRPr="00845331" w:rsidRDefault="009A7EC7" w:rsidP="007E08A4">
      <w:pPr>
        <w:spacing w:before="120" w:after="120"/>
        <w:jc w:val="both"/>
        <w:rPr>
          <w:rFonts w:ascii="Arial" w:hAnsi="Arial" w:cs="Arial"/>
          <w:sz w:val="22"/>
          <w:szCs w:val="22"/>
          <w:lang w:val="en-US"/>
        </w:rPr>
      </w:pPr>
      <w:r w:rsidRPr="00845331">
        <w:rPr>
          <w:rFonts w:ascii="Arial" w:hAnsi="Arial" w:cs="Arial"/>
          <w:sz w:val="22"/>
          <w:szCs w:val="22"/>
          <w:lang w:val="en-US"/>
        </w:rPr>
        <w:t xml:space="preserve">Brillet T, Marden MC, Yeh JI, Shen TJ, Ho NT, Kettering R, Du S, Vasseur C, Domingues-Hamdi E, Ho C, Baudin-Creuza V. Interaction of haptoglobin with hemoglobin octamers based on the mutation </w:t>
      </w:r>
      <w:r w:rsidRPr="00845331">
        <w:rPr>
          <w:rFonts w:ascii="Arial" w:hAnsi="Arial" w:cs="Arial"/>
          <w:sz w:val="22"/>
          <w:szCs w:val="22"/>
        </w:rPr>
        <w:t>α</w:t>
      </w:r>
      <w:r w:rsidRPr="00845331">
        <w:rPr>
          <w:rFonts w:ascii="Arial" w:hAnsi="Arial" w:cs="Arial"/>
          <w:sz w:val="22"/>
          <w:szCs w:val="22"/>
          <w:lang w:val="en-US"/>
        </w:rPr>
        <w:t xml:space="preserve">Asn78Cys or </w:t>
      </w:r>
      <w:r w:rsidRPr="00845331">
        <w:rPr>
          <w:rFonts w:ascii="Arial" w:hAnsi="Arial" w:cs="Arial"/>
          <w:sz w:val="22"/>
          <w:szCs w:val="22"/>
        </w:rPr>
        <w:t>β</w:t>
      </w:r>
      <w:r w:rsidRPr="00845331">
        <w:rPr>
          <w:rFonts w:ascii="Arial" w:hAnsi="Arial" w:cs="Arial"/>
          <w:sz w:val="22"/>
          <w:szCs w:val="22"/>
          <w:lang w:val="en-US"/>
        </w:rPr>
        <w:t>Gly83Cys.Am J Mol Biol. 2012 Apr 1;2(1):1-10.</w:t>
      </w:r>
    </w:p>
    <w:p w14:paraId="48F766DA" w14:textId="77777777" w:rsidR="009A7EC7" w:rsidRPr="00845331" w:rsidRDefault="009A7EC7" w:rsidP="00305342">
      <w:pPr>
        <w:rPr>
          <w:rFonts w:ascii="Arial" w:hAnsi="Arial" w:cs="Arial"/>
          <w:sz w:val="22"/>
          <w:szCs w:val="22"/>
        </w:rPr>
      </w:pPr>
    </w:p>
    <w:sectPr w:rsidR="009A7EC7" w:rsidRPr="00845331" w:rsidSect="00FC52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B7DB0"/>
    <w:multiLevelType w:val="hybridMultilevel"/>
    <w:tmpl w:val="F306E300"/>
    <w:lvl w:ilvl="0" w:tplc="1F58C74A">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164"/>
    <w:rsid w:val="000125C0"/>
    <w:rsid w:val="00030C1C"/>
    <w:rsid w:val="000905B9"/>
    <w:rsid w:val="000B0017"/>
    <w:rsid w:val="000C7A47"/>
    <w:rsid w:val="00194578"/>
    <w:rsid w:val="001A1323"/>
    <w:rsid w:val="001F59FC"/>
    <w:rsid w:val="00223448"/>
    <w:rsid w:val="00246164"/>
    <w:rsid w:val="002515DA"/>
    <w:rsid w:val="0026565B"/>
    <w:rsid w:val="002B51C8"/>
    <w:rsid w:val="00305342"/>
    <w:rsid w:val="00311C57"/>
    <w:rsid w:val="0038274E"/>
    <w:rsid w:val="0042256C"/>
    <w:rsid w:val="004518E5"/>
    <w:rsid w:val="004601F6"/>
    <w:rsid w:val="004A1B2A"/>
    <w:rsid w:val="004B6018"/>
    <w:rsid w:val="00512536"/>
    <w:rsid w:val="005206FF"/>
    <w:rsid w:val="00524E34"/>
    <w:rsid w:val="00572FA7"/>
    <w:rsid w:val="005742EF"/>
    <w:rsid w:val="005E3387"/>
    <w:rsid w:val="005F71A2"/>
    <w:rsid w:val="00691983"/>
    <w:rsid w:val="006A2CB4"/>
    <w:rsid w:val="007473B3"/>
    <w:rsid w:val="00751CE0"/>
    <w:rsid w:val="007563E2"/>
    <w:rsid w:val="007B6B71"/>
    <w:rsid w:val="007B78ED"/>
    <w:rsid w:val="007E08A4"/>
    <w:rsid w:val="008042D8"/>
    <w:rsid w:val="00804300"/>
    <w:rsid w:val="008262CE"/>
    <w:rsid w:val="00826A41"/>
    <w:rsid w:val="00845331"/>
    <w:rsid w:val="008D5237"/>
    <w:rsid w:val="009024FB"/>
    <w:rsid w:val="00935CEB"/>
    <w:rsid w:val="0098662E"/>
    <w:rsid w:val="009A7EC7"/>
    <w:rsid w:val="009C6204"/>
    <w:rsid w:val="00A30189"/>
    <w:rsid w:val="00AB0417"/>
    <w:rsid w:val="00B57888"/>
    <w:rsid w:val="00B97250"/>
    <w:rsid w:val="00BC584B"/>
    <w:rsid w:val="00D15C16"/>
    <w:rsid w:val="00E246F1"/>
    <w:rsid w:val="00E53CCD"/>
    <w:rsid w:val="00E75CBE"/>
    <w:rsid w:val="00E80AD6"/>
    <w:rsid w:val="00F27064"/>
    <w:rsid w:val="00F3410E"/>
    <w:rsid w:val="00F8098D"/>
    <w:rsid w:val="00FC528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1A093A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164"/>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2B51C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2B51C8"/>
    <w:rPr>
      <w:rFonts w:ascii="Tahoma" w:hAnsi="Tahoma"/>
      <w:sz w:val="16"/>
      <w:lang w:val="x-none" w:eastAsia="fr-FR"/>
    </w:rPr>
  </w:style>
  <w:style w:type="character" w:styleId="Lienhypertexte">
    <w:name w:val="Hyperlink"/>
    <w:basedOn w:val="Policepardfaut"/>
    <w:uiPriority w:val="99"/>
    <w:unhideWhenUsed/>
    <w:rsid w:val="001F59F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164"/>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2B51C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2B51C8"/>
    <w:rPr>
      <w:rFonts w:ascii="Tahoma" w:hAnsi="Tahoma"/>
      <w:sz w:val="16"/>
      <w:lang w:val="x-none" w:eastAsia="fr-FR"/>
    </w:rPr>
  </w:style>
  <w:style w:type="character" w:styleId="Lienhypertexte">
    <w:name w:val="Hyperlink"/>
    <w:basedOn w:val="Policepardfaut"/>
    <w:uiPriority w:val="99"/>
    <w:unhideWhenUsed/>
    <w:rsid w:val="001F59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172958">
      <w:marLeft w:val="0"/>
      <w:marRight w:val="0"/>
      <w:marTop w:val="0"/>
      <w:marBottom w:val="0"/>
      <w:divBdr>
        <w:top w:val="none" w:sz="0" w:space="0" w:color="auto"/>
        <w:left w:val="none" w:sz="0" w:space="0" w:color="auto"/>
        <w:bottom w:val="none" w:sz="0" w:space="0" w:color="auto"/>
        <w:right w:val="none" w:sz="0" w:space="0" w:color="auto"/>
      </w:divBdr>
    </w:div>
    <w:div w:id="992172959">
      <w:marLeft w:val="0"/>
      <w:marRight w:val="0"/>
      <w:marTop w:val="0"/>
      <w:marBottom w:val="0"/>
      <w:divBdr>
        <w:top w:val="none" w:sz="0" w:space="0" w:color="auto"/>
        <w:left w:val="none" w:sz="0" w:space="0" w:color="auto"/>
        <w:bottom w:val="none" w:sz="0" w:space="0" w:color="auto"/>
        <w:right w:val="none" w:sz="0" w:space="0" w:color="auto"/>
      </w:divBdr>
    </w:div>
    <w:div w:id="9921729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2</Pages>
  <Words>843</Words>
  <Characters>4639</Characters>
  <Application>Microsoft Macintosh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Benoît</dc:creator>
  <cp:lastModifiedBy>Jean-Loup Duband</cp:lastModifiedBy>
  <cp:revision>5</cp:revision>
  <dcterms:created xsi:type="dcterms:W3CDTF">2015-05-29T09:26:00Z</dcterms:created>
  <dcterms:modified xsi:type="dcterms:W3CDTF">2015-06-02T13:21:00Z</dcterms:modified>
</cp:coreProperties>
</file>